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tabs>
          <w:tab w:val="left" w:pos="0"/>
        </w:tabs>
        <w:autoSpaceDE w:val="0"/>
        <w:autoSpaceDN w:val="0"/>
        <w:adjustRightInd w:val="0"/>
        <w:spacing w:line="360" w:lineRule="auto"/>
        <w:jc w:val="center"/>
        <w:outlineLvl w:val="0"/>
        <w:rPr>
          <w:rFonts w:hint="eastAsia" w:ascii="宋体" w:hAnsi="宋体" w:cs="宋体"/>
          <w:b/>
          <w:bCs/>
          <w:color w:val="auto"/>
          <w:kern w:val="44"/>
          <w:sz w:val="28"/>
          <w:szCs w:val="28"/>
          <w:highlight w:val="none"/>
        </w:rPr>
      </w:pPr>
      <w:bookmarkStart w:id="0" w:name="_Toc10244"/>
      <w:bookmarkStart w:id="1" w:name="_Toc28359011"/>
      <w:bookmarkStart w:id="2" w:name="_Toc35393797"/>
      <w:bookmarkStart w:id="34" w:name="_GoBack"/>
      <w:r>
        <w:rPr>
          <w:rFonts w:hint="eastAsia" w:ascii="宋体" w:hAnsi="宋体" w:cs="宋体"/>
          <w:b/>
          <w:bCs/>
          <w:color w:val="auto"/>
          <w:kern w:val="44"/>
          <w:sz w:val="28"/>
          <w:szCs w:val="28"/>
          <w:highlight w:val="none"/>
        </w:rPr>
        <w:t>河南理工大学文法学院模拟法庭加固改造与内部装修工程</w:t>
      </w:r>
      <w:bookmarkEnd w:id="0"/>
    </w:p>
    <w:p>
      <w:pPr>
        <w:keepNext/>
        <w:keepLines/>
        <w:tabs>
          <w:tab w:val="left" w:pos="0"/>
        </w:tabs>
        <w:autoSpaceDE w:val="0"/>
        <w:autoSpaceDN w:val="0"/>
        <w:adjustRightInd w:val="0"/>
        <w:spacing w:line="360" w:lineRule="auto"/>
        <w:jc w:val="center"/>
        <w:outlineLvl w:val="0"/>
        <w:rPr>
          <w:rFonts w:hint="eastAsia" w:ascii="宋体" w:hAnsi="宋体" w:cs="宋体"/>
          <w:b/>
          <w:bCs/>
          <w:color w:val="auto"/>
          <w:kern w:val="44"/>
          <w:sz w:val="28"/>
          <w:szCs w:val="28"/>
          <w:highlight w:val="none"/>
        </w:rPr>
      </w:pPr>
      <w:bookmarkStart w:id="3" w:name="_Toc29025"/>
      <w:r>
        <w:rPr>
          <w:rFonts w:hint="eastAsia" w:ascii="宋体" w:hAnsi="宋体" w:cs="宋体"/>
          <w:b/>
          <w:bCs/>
          <w:color w:val="auto"/>
          <w:kern w:val="44"/>
          <w:sz w:val="28"/>
          <w:szCs w:val="28"/>
          <w:highlight w:val="none"/>
        </w:rPr>
        <w:t>竞争性磋商公告</w:t>
      </w:r>
      <w:bookmarkEnd w:id="1"/>
      <w:bookmarkEnd w:id="2"/>
      <w:bookmarkEnd w:id="3"/>
    </w:p>
    <w:bookmarkEnd w:id="34"/>
    <w:p>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项目概况：拆除原有屋面并新建岩棉夹芯板屋面，局部拆除原有砖墙，部分原有砖墙加高并采用水泥砂浆钢筋网面对所有砖墙进行加固，拆除原有门窗，室内、外墙面、地面及天棚装修，室内线路改造及开关插座和灯具安装。（具体详见图纸、工程量清单和竞争性磋商文件）。</w:t>
      </w:r>
    </w:p>
    <w:p>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u w:val="single"/>
        </w:rPr>
        <w:t>河南理工大学文法学院模拟法庭加固改造与内部装修工程</w:t>
      </w:r>
      <w:r>
        <w:rPr>
          <w:rFonts w:hint="eastAsia" w:ascii="宋体" w:hAnsi="宋体" w:cs="宋体"/>
          <w:color w:val="auto"/>
          <w:sz w:val="24"/>
          <w:highlight w:val="none"/>
        </w:rPr>
        <w:t>的潜在供应商应在</w:t>
      </w:r>
      <w:r>
        <w:rPr>
          <w:rFonts w:hint="eastAsia" w:ascii="宋体" w:hAnsi="宋体" w:cs="宋体"/>
          <w:color w:val="auto"/>
          <w:sz w:val="24"/>
          <w:highlight w:val="none"/>
          <w:u w:val="single"/>
        </w:rPr>
        <w:t>（焦作市山阳区长恩路森林半岛西门南鑫诚国际）</w:t>
      </w:r>
      <w:r>
        <w:rPr>
          <w:rFonts w:hint="eastAsia" w:ascii="宋体" w:hAnsi="宋体" w:cs="宋体"/>
          <w:color w:val="auto"/>
          <w:sz w:val="24"/>
          <w:highlight w:val="none"/>
        </w:rPr>
        <w:t>获取竞争性磋商文件，并于</w:t>
      </w:r>
      <w:r>
        <w:rPr>
          <w:rFonts w:hint="eastAsia" w:ascii="宋体" w:hAnsi="宋体" w:cs="宋体"/>
          <w:color w:val="auto"/>
          <w:sz w:val="24"/>
          <w:highlight w:val="none"/>
          <w:u w:val="single"/>
        </w:rPr>
        <w:t>2020年12月</w:t>
      </w:r>
      <w:r>
        <w:rPr>
          <w:rFonts w:hint="eastAsia" w:ascii="宋体" w:hAnsi="宋体" w:cs="宋体"/>
          <w:color w:val="auto"/>
          <w:sz w:val="24"/>
          <w:highlight w:val="none"/>
          <w:u w:val="single"/>
          <w:lang w:val="en-US" w:eastAsia="zh-CN"/>
        </w:rPr>
        <w:t>14</w:t>
      </w:r>
      <w:r>
        <w:rPr>
          <w:rFonts w:hint="eastAsia" w:ascii="宋体" w:hAnsi="宋体" w:cs="宋体"/>
          <w:color w:val="auto"/>
          <w:sz w:val="24"/>
          <w:highlight w:val="none"/>
          <w:u w:val="single"/>
        </w:rPr>
        <w:t>日</w:t>
      </w:r>
      <w:r>
        <w:rPr>
          <w:rFonts w:hint="eastAsia" w:ascii="宋体" w:hAnsi="宋体" w:cs="宋体"/>
          <w:color w:val="auto"/>
          <w:sz w:val="24"/>
          <w:highlight w:val="none"/>
          <w:u w:val="single"/>
          <w:lang w:val="en-US" w:eastAsia="zh-CN"/>
        </w:rPr>
        <w:t>14</w:t>
      </w:r>
      <w:r>
        <w:rPr>
          <w:rFonts w:hint="eastAsia" w:ascii="宋体" w:hAnsi="宋体" w:cs="宋体"/>
          <w:color w:val="auto"/>
          <w:sz w:val="24"/>
          <w:highlight w:val="none"/>
          <w:u w:val="single"/>
        </w:rPr>
        <w:t>点30分</w:t>
      </w:r>
      <w:r>
        <w:rPr>
          <w:rFonts w:hint="eastAsia" w:ascii="宋体" w:hAnsi="宋体" w:cs="宋体"/>
          <w:color w:val="auto"/>
          <w:sz w:val="24"/>
          <w:highlight w:val="none"/>
        </w:rPr>
        <w:t>（北京时间）前提交响应文件。</w:t>
      </w:r>
    </w:p>
    <w:p>
      <w:pPr>
        <w:rPr>
          <w:rFonts w:hint="eastAsia" w:ascii="宋体" w:hAnsi="宋体" w:cs="宋体"/>
          <w:color w:val="auto"/>
          <w:sz w:val="24"/>
          <w:highlight w:val="none"/>
        </w:rPr>
      </w:pPr>
    </w:p>
    <w:p>
      <w:pPr>
        <w:spacing w:line="440" w:lineRule="exact"/>
        <w:ind w:firstLine="482" w:firstLineChars="200"/>
        <w:rPr>
          <w:rFonts w:hint="eastAsia" w:ascii="宋体" w:hAnsi="宋体" w:cs="宋体"/>
          <w:b/>
          <w:bCs/>
          <w:color w:val="auto"/>
          <w:sz w:val="24"/>
          <w:highlight w:val="none"/>
        </w:rPr>
      </w:pPr>
      <w:bookmarkStart w:id="4" w:name="_Toc28359089"/>
      <w:bookmarkStart w:id="5" w:name="_Toc35393798"/>
      <w:bookmarkStart w:id="6" w:name="_Toc35393629"/>
      <w:bookmarkStart w:id="7" w:name="_Toc28359012"/>
      <w:r>
        <w:rPr>
          <w:rFonts w:hint="eastAsia" w:ascii="宋体" w:hAnsi="宋体" w:cs="宋体"/>
          <w:b/>
          <w:bCs/>
          <w:color w:val="auto"/>
          <w:sz w:val="24"/>
          <w:highlight w:val="none"/>
        </w:rPr>
        <w:t>一、项目基本情况</w:t>
      </w:r>
      <w:bookmarkEnd w:id="4"/>
      <w:bookmarkEnd w:id="5"/>
      <w:bookmarkEnd w:id="6"/>
      <w:bookmarkEnd w:id="7"/>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1.项目编号：</w:t>
      </w:r>
      <w:r>
        <w:rPr>
          <w:rFonts w:hint="eastAsia" w:ascii="宋体" w:hAnsi="宋体" w:cs="宋体"/>
          <w:color w:val="auto"/>
          <w:sz w:val="24"/>
          <w:highlight w:val="none"/>
          <w:lang w:val="zh-CN"/>
        </w:rPr>
        <w:t>XCZB07-2011111</w:t>
      </w:r>
      <w:r>
        <w:rPr>
          <w:rFonts w:hint="eastAsia" w:ascii="宋体" w:hAnsi="宋体" w:cs="宋体"/>
          <w:color w:val="auto"/>
          <w:sz w:val="24"/>
          <w:highlight w:val="none"/>
        </w:rPr>
        <w:t>号</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2.项目名称：河南理工大学文法学院模拟法庭加固改造与内部装修工程</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3.采购方式：竞争性磋商</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4.预算金额：651734.43元（含暂列金额62405.09元）</w:t>
      </w:r>
    </w:p>
    <w:p>
      <w:pPr>
        <w:spacing w:line="440" w:lineRule="exact"/>
        <w:ind w:firstLine="480" w:firstLineChars="200"/>
        <w:rPr>
          <w:rFonts w:hint="eastAsia" w:ascii="宋体" w:hAnsi="宋体" w:cs="宋体"/>
          <w:color w:val="auto"/>
          <w:sz w:val="24"/>
          <w:highlight w:val="none"/>
        </w:rPr>
      </w:pPr>
      <w:r>
        <w:rPr>
          <w:rFonts w:ascii="宋体" w:hAnsi="宋体" w:cs="宋体"/>
          <w:color w:val="auto"/>
          <w:sz w:val="24"/>
          <w:highlight w:val="none"/>
        </w:rPr>
        <w:t>5.</w:t>
      </w:r>
      <w:r>
        <w:rPr>
          <w:rFonts w:hint="eastAsia" w:ascii="宋体" w:hAnsi="宋体" w:cs="宋体"/>
          <w:color w:val="auto"/>
          <w:sz w:val="24"/>
          <w:highlight w:val="none"/>
        </w:rPr>
        <w:t>最高限价：651734.43元（含暂列金额62405.09元）</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6.采购需求：（包括但不限于标的的名称、数量、简要技术需求或服务要求等）</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项目概况：拆除原有屋面并新建岩棉夹芯板屋面，局部拆除原有砖墙，部分原有砖墙加高并采用水泥砂浆钢筋网面对所有砖墙进行加固，拆除原有门窗，室内、外墙面、地面及天棚装修，室内线路改造及开关插座和灯具安装。（具体详见图纸、工程量清单和竞争性磋商文件）。</w:t>
      </w:r>
      <w:bookmarkStart w:id="8" w:name="_Toc35393799"/>
      <w:bookmarkStart w:id="9" w:name="_Toc28359090"/>
      <w:bookmarkStart w:id="10" w:name="_Toc28359013"/>
      <w:bookmarkStart w:id="11" w:name="_Toc35393630"/>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6.2项目地点：河南理工大学北校区内。</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6.3采购范围：竞争性磋商文件、答疑纪要（如有）、补充通知（如有）、施工图纸、施工方案及工程量清单确定的全部内容。</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6.4质量标准：合格。 </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6.5标段划分：本项目分为 1 个标段。</w:t>
      </w:r>
    </w:p>
    <w:p>
      <w:pPr>
        <w:numPr>
          <w:ilvl w:val="0"/>
          <w:numId w:val="1"/>
        </w:num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合同履行期限：工期90日历天。 </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w:t>
      </w:r>
      <w:r>
        <w:rPr>
          <w:rFonts w:ascii="宋体" w:hAnsi="宋体" w:cs="宋体"/>
          <w:color w:val="auto"/>
          <w:sz w:val="24"/>
          <w:highlight w:val="none"/>
        </w:rPr>
        <w:t>质保</w:t>
      </w:r>
      <w:r>
        <w:rPr>
          <w:rFonts w:hint="eastAsia" w:ascii="宋体" w:hAnsi="宋体" w:cs="宋体"/>
          <w:color w:val="auto"/>
          <w:sz w:val="24"/>
          <w:highlight w:val="none"/>
        </w:rPr>
        <w:t>期限</w:t>
      </w:r>
      <w:r>
        <w:rPr>
          <w:rFonts w:ascii="宋体" w:hAnsi="宋体" w:cs="宋体"/>
          <w:color w:val="auto"/>
          <w:sz w:val="24"/>
          <w:highlight w:val="none"/>
        </w:rPr>
        <w:t>：两年</w:t>
      </w:r>
      <w:r>
        <w:rPr>
          <w:rFonts w:hint="eastAsia" w:ascii="宋体" w:hAnsi="宋体" w:cs="宋体"/>
          <w:color w:val="auto"/>
          <w:sz w:val="24"/>
          <w:highlight w:val="none"/>
        </w:rPr>
        <w:t>，屋面及卫生间防水部分五年。</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9、本项目是否接受联合体投标：否</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10、是否接受进口产品：否</w:t>
      </w:r>
    </w:p>
    <w:p>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二、申请人的资格要求：</w:t>
      </w:r>
      <w:bookmarkEnd w:id="8"/>
      <w:bookmarkEnd w:id="9"/>
      <w:bookmarkEnd w:id="10"/>
      <w:bookmarkEnd w:id="11"/>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1.满足《中华人民共和国政府采购法》第二十二条规定；</w:t>
      </w:r>
    </w:p>
    <w:p>
      <w:pPr>
        <w:spacing w:line="440" w:lineRule="exact"/>
        <w:ind w:firstLine="480" w:firstLineChars="200"/>
        <w:rPr>
          <w:rFonts w:hint="eastAsia" w:ascii="宋体" w:hAnsi="宋体" w:cs="宋体"/>
          <w:color w:val="auto"/>
          <w:sz w:val="24"/>
          <w:highlight w:val="none"/>
        </w:rPr>
      </w:pPr>
      <w:bookmarkStart w:id="12" w:name="_Toc28359091"/>
      <w:bookmarkStart w:id="13" w:name="_Toc28359014"/>
      <w:r>
        <w:rPr>
          <w:rFonts w:hint="eastAsia" w:ascii="宋体" w:hAnsi="宋体" w:cs="宋体"/>
          <w:color w:val="auto"/>
          <w:sz w:val="24"/>
          <w:highlight w:val="none"/>
        </w:rPr>
        <w:t>2.本项目的特定资格要求：</w:t>
      </w:r>
      <w:bookmarkStart w:id="14" w:name="_Toc35393800"/>
      <w:bookmarkStart w:id="15" w:name="_Toc35393631"/>
    </w:p>
    <w:p>
      <w:pPr>
        <w:spacing w:line="440" w:lineRule="exact"/>
        <w:ind w:left="479" w:leftChars="228"/>
        <w:rPr>
          <w:rFonts w:hint="eastAsia" w:ascii="宋体" w:hAnsi="宋体" w:cs="宋体"/>
          <w:color w:val="auto"/>
          <w:sz w:val="24"/>
          <w:highlight w:val="none"/>
        </w:rPr>
      </w:pPr>
      <w:r>
        <w:rPr>
          <w:rFonts w:hint="eastAsia" w:ascii="宋体" w:hAnsi="宋体" w:cs="宋体"/>
          <w:color w:val="auto"/>
          <w:sz w:val="24"/>
          <w:highlight w:val="none"/>
        </w:rPr>
        <w:t xml:space="preserve">2.1符合《中华人民共和国政府采购法》第二十二条规定以下内容： </w:t>
      </w:r>
      <w:r>
        <w:rPr>
          <w:rFonts w:hint="eastAsia" w:ascii="宋体" w:hAnsi="宋体" w:cs="宋体"/>
          <w:color w:val="auto"/>
          <w:sz w:val="24"/>
          <w:highlight w:val="none"/>
        </w:rPr>
        <w:br w:type="textWrapping"/>
      </w:r>
      <w:r>
        <w:rPr>
          <w:rFonts w:hint="eastAsia" w:ascii="宋体" w:hAnsi="宋体" w:cs="宋体"/>
          <w:color w:val="auto"/>
          <w:sz w:val="24"/>
          <w:highlight w:val="none"/>
        </w:rPr>
        <w:t>2.1.1供应商须注册于中华人民共和国境内，具有独立承担民事责任能力的法人、其他组织或者自然人；</w:t>
      </w:r>
    </w:p>
    <w:p>
      <w:pPr>
        <w:spacing w:line="440" w:lineRule="exact"/>
        <w:ind w:left="479" w:leftChars="228"/>
        <w:rPr>
          <w:rFonts w:hint="eastAsia" w:ascii="宋体" w:hAnsi="宋体" w:cs="宋体"/>
          <w:color w:val="auto"/>
          <w:sz w:val="24"/>
          <w:highlight w:val="none"/>
        </w:rPr>
      </w:pPr>
      <w:r>
        <w:rPr>
          <w:rFonts w:hint="eastAsia" w:ascii="宋体" w:hAnsi="宋体" w:cs="宋体"/>
          <w:color w:val="auto"/>
          <w:sz w:val="24"/>
          <w:highlight w:val="none"/>
        </w:rPr>
        <w:t>2.1.2具有良好的商业信誉和健全的财务会计制度；（企业近三年财务状况良好，提供近三年的财务审计报告（2017年度、2018年度、2019年度）；不足三年，按实际提供，新成立企业提供银行出具的资信证明）。</w:t>
      </w:r>
    </w:p>
    <w:p>
      <w:pPr>
        <w:spacing w:line="440" w:lineRule="exact"/>
        <w:ind w:left="479" w:leftChars="228"/>
        <w:rPr>
          <w:rFonts w:hint="eastAsia" w:ascii="宋体" w:hAnsi="宋体" w:cs="宋体"/>
          <w:color w:val="auto"/>
          <w:sz w:val="24"/>
          <w:highlight w:val="none"/>
        </w:rPr>
      </w:pPr>
      <w:r>
        <w:rPr>
          <w:rFonts w:hint="eastAsia" w:ascii="宋体" w:hAnsi="宋体" w:cs="宋体"/>
          <w:color w:val="auto"/>
          <w:sz w:val="24"/>
          <w:highlight w:val="none"/>
        </w:rPr>
        <w:t>2.1.3具有履行合同所必需的设备和专业技术能力；（提供承诺函，格式自拟）。</w:t>
      </w:r>
    </w:p>
    <w:p>
      <w:pPr>
        <w:spacing w:line="440" w:lineRule="exact"/>
        <w:ind w:left="479" w:leftChars="228"/>
        <w:rPr>
          <w:rFonts w:hint="eastAsia" w:ascii="宋体" w:hAnsi="宋体" w:cs="宋体"/>
          <w:color w:val="auto"/>
          <w:sz w:val="24"/>
          <w:highlight w:val="none"/>
        </w:rPr>
      </w:pPr>
      <w:r>
        <w:rPr>
          <w:rFonts w:hint="eastAsia" w:ascii="宋体" w:hAnsi="宋体" w:cs="宋体"/>
          <w:color w:val="auto"/>
          <w:sz w:val="24"/>
          <w:highlight w:val="none"/>
        </w:rPr>
        <w:t>2.1.4有依法缴纳税收和社会保障资金的良好记录；提供递交响应性文件截止时间前近六个月任意一个月的完税凭证和缴纳养老保险的凭据（专用收据或社会保险缴纳清单或网上缴费凭证）。依法如享有免税政策的或不需要缴纳社保的，提供相关证明文件。</w:t>
      </w:r>
    </w:p>
    <w:p>
      <w:pPr>
        <w:spacing w:line="440" w:lineRule="exact"/>
        <w:ind w:left="479" w:leftChars="228"/>
        <w:rPr>
          <w:rFonts w:hint="eastAsia" w:ascii="宋体" w:hAnsi="宋体" w:cs="宋体"/>
          <w:color w:val="auto"/>
          <w:sz w:val="24"/>
          <w:highlight w:val="none"/>
        </w:rPr>
      </w:pPr>
      <w:r>
        <w:rPr>
          <w:rFonts w:hint="eastAsia" w:ascii="宋体" w:hAnsi="宋体" w:cs="宋体"/>
          <w:color w:val="auto"/>
          <w:sz w:val="24"/>
          <w:highlight w:val="none"/>
        </w:rPr>
        <w:t>2.1.5参加政府采购活动前三年内，在经营活动中没有重大违法记录（提供承诺函，格式自拟）。</w:t>
      </w:r>
    </w:p>
    <w:p>
      <w:pPr>
        <w:spacing w:line="440" w:lineRule="exact"/>
        <w:ind w:left="479" w:leftChars="228"/>
        <w:rPr>
          <w:rFonts w:hint="eastAsia" w:ascii="宋体" w:hAnsi="宋体" w:cs="宋体"/>
          <w:color w:val="auto"/>
          <w:sz w:val="24"/>
          <w:highlight w:val="none"/>
        </w:rPr>
      </w:pPr>
      <w:r>
        <w:rPr>
          <w:rFonts w:hint="eastAsia" w:ascii="宋体" w:hAnsi="宋体" w:cs="宋体"/>
          <w:color w:val="auto"/>
          <w:sz w:val="24"/>
          <w:highlight w:val="none"/>
        </w:rPr>
        <w:t>2.2资质要求：具备建设行政主管部门颁发建筑工程施工总承包叁级及以上资质或建筑装修装饰工程专业承包二级及以上资质，且同时具备特种工程(结构补强)专业承包资质，具备有效期内安全生产许可证，并在人员、设备、资金等方面具有相应的施工能力。</w:t>
      </w:r>
    </w:p>
    <w:p>
      <w:pPr>
        <w:spacing w:line="440" w:lineRule="exact"/>
        <w:ind w:left="479" w:leftChars="228"/>
        <w:rPr>
          <w:rFonts w:hint="eastAsia" w:ascii="宋体" w:hAnsi="宋体" w:cs="宋体"/>
          <w:color w:val="auto"/>
          <w:sz w:val="24"/>
          <w:highlight w:val="none"/>
        </w:rPr>
      </w:pPr>
      <w:r>
        <w:rPr>
          <w:rFonts w:hint="eastAsia" w:ascii="宋体" w:hAnsi="宋体" w:cs="宋体"/>
          <w:color w:val="auto"/>
          <w:sz w:val="24"/>
          <w:highlight w:val="none"/>
        </w:rPr>
        <w:t>2.3项目经理资格要求：拟派项目经理应具备建筑工程贰级及以上注册建造师资格，具备有效的安全生产考核合格证，且为本企业正式员工，提供劳动合同及近六个月投标企业连续为其缴纳社保明细单，且未担任其他在建工程项目的项目经理。</w:t>
      </w:r>
    </w:p>
    <w:p>
      <w:pPr>
        <w:spacing w:line="440" w:lineRule="exact"/>
        <w:ind w:left="479" w:leftChars="228"/>
        <w:rPr>
          <w:rFonts w:hint="eastAsia" w:ascii="宋体" w:hAnsi="宋体" w:cs="宋体"/>
          <w:color w:val="auto"/>
          <w:sz w:val="24"/>
          <w:highlight w:val="none"/>
        </w:rPr>
      </w:pPr>
      <w:r>
        <w:rPr>
          <w:rFonts w:hint="eastAsia" w:ascii="宋体" w:hAnsi="宋体" w:cs="宋体"/>
          <w:color w:val="auto"/>
          <w:sz w:val="24"/>
          <w:highlight w:val="none"/>
        </w:rPr>
        <w:t>2.4授权委托人要求：授权委托人须为本单位员工，提供劳动合同及近六个月投标企业连续为其缴纳社保明细单。</w:t>
      </w:r>
    </w:p>
    <w:p>
      <w:pPr>
        <w:spacing w:line="440" w:lineRule="exact"/>
        <w:ind w:left="479" w:leftChars="228"/>
        <w:rPr>
          <w:rFonts w:hint="eastAsia" w:ascii="宋体" w:hAnsi="宋体" w:cs="宋体"/>
          <w:color w:val="auto"/>
          <w:sz w:val="24"/>
          <w:highlight w:val="none"/>
        </w:rPr>
      </w:pPr>
      <w:r>
        <w:rPr>
          <w:rFonts w:hint="eastAsia" w:ascii="宋体" w:hAnsi="宋体" w:cs="宋体"/>
          <w:color w:val="auto"/>
          <w:sz w:val="24"/>
          <w:highlight w:val="none"/>
        </w:rPr>
        <w:t>2.5信誉要求：</w:t>
      </w:r>
    </w:p>
    <w:p>
      <w:pPr>
        <w:spacing w:line="440" w:lineRule="exact"/>
        <w:ind w:left="479" w:leftChars="228"/>
        <w:rPr>
          <w:rFonts w:hint="eastAsia" w:ascii="宋体" w:hAnsi="宋体" w:cs="宋体"/>
          <w:color w:val="auto"/>
          <w:sz w:val="24"/>
          <w:highlight w:val="none"/>
        </w:rPr>
      </w:pPr>
      <w:r>
        <w:rPr>
          <w:rFonts w:hint="eastAsia" w:ascii="宋体" w:hAnsi="宋体" w:cs="宋体"/>
          <w:color w:val="auto"/>
          <w:sz w:val="24"/>
          <w:highlight w:val="none"/>
        </w:rPr>
        <w:t>2.5.1根据《关于在政府采购活动中查询及使用信用记录有关问题的通知》(财库[2016]125号)的规定，采购代理机构将通过“信用中国”网站（</w:t>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HYPERLINK "http://www.creditchina.gov.cn/"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www.creditchina.gov.cn</w:t>
      </w:r>
      <w:r>
        <w:rPr>
          <w:rFonts w:hint="eastAsia" w:ascii="宋体" w:hAnsi="宋体" w:cs="宋体"/>
          <w:color w:val="auto"/>
          <w:sz w:val="24"/>
          <w:highlight w:val="none"/>
        </w:rPr>
        <w:fldChar w:fldCharType="end"/>
      </w:r>
      <w:r>
        <w:rPr>
          <w:rFonts w:hint="eastAsia" w:ascii="宋体" w:hAnsi="宋体" w:cs="宋体"/>
          <w:color w:val="auto"/>
          <w:sz w:val="24"/>
          <w:highlight w:val="none"/>
        </w:rPr>
        <w:t>）、中国政府采购网（www.ccgp.gov.cn）等渠道在资格审查环节查询供应商信用记录，被列入失信被执行人、重大税收违法案件当事人名单、政府采购严重违法失信行为记录名单的单位将被拒绝参与本项目政府采购活动；信用信息查询记录和证据将同采购文件等资料一同归档保存。</w:t>
      </w:r>
    </w:p>
    <w:p>
      <w:pPr>
        <w:spacing w:line="440" w:lineRule="exact"/>
        <w:ind w:left="479" w:leftChars="228"/>
        <w:rPr>
          <w:rFonts w:hint="eastAsia" w:ascii="宋体" w:hAnsi="宋体" w:cs="宋体"/>
          <w:color w:val="auto"/>
          <w:sz w:val="24"/>
          <w:highlight w:val="none"/>
        </w:rPr>
      </w:pPr>
      <w:r>
        <w:rPr>
          <w:rFonts w:hint="eastAsia" w:ascii="宋体" w:hAnsi="宋体" w:cs="宋体"/>
          <w:color w:val="auto"/>
          <w:sz w:val="24"/>
          <w:highlight w:val="none"/>
        </w:rPr>
        <w:t>2.5.2响应人未处于被责令停产、停业、投标资格被取消或者财产被接管、冻结和破产状态；2017年1月1日以来响应人未发生骗取中标或者严重违约以及发生重大工程质量、安全生产事故等问题（响应人对上述内容自行做出书面承诺）。</w:t>
      </w:r>
    </w:p>
    <w:p>
      <w:pPr>
        <w:spacing w:line="440" w:lineRule="exact"/>
        <w:ind w:left="479" w:leftChars="228"/>
        <w:rPr>
          <w:rFonts w:hint="eastAsia" w:ascii="宋体" w:hAnsi="宋体" w:cs="宋体"/>
          <w:color w:val="auto"/>
          <w:sz w:val="24"/>
          <w:highlight w:val="none"/>
        </w:rPr>
      </w:pPr>
      <w:r>
        <w:rPr>
          <w:rFonts w:hint="eastAsia" w:ascii="宋体" w:hAnsi="宋体" w:cs="宋体"/>
          <w:color w:val="auto"/>
          <w:sz w:val="24"/>
          <w:highlight w:val="none"/>
        </w:rPr>
        <w:t>2.5.3 供应商需要在磋商前在中国裁判文书网查询供应商无行贿犯罪档案记录（查询日期为发布磋商公告以后日期）。</w:t>
      </w:r>
    </w:p>
    <w:p>
      <w:pPr>
        <w:spacing w:line="440" w:lineRule="exact"/>
        <w:ind w:left="479" w:leftChars="228"/>
        <w:rPr>
          <w:rFonts w:hint="eastAsia" w:ascii="宋体" w:hAnsi="宋体" w:cs="宋体"/>
          <w:color w:val="auto"/>
          <w:sz w:val="24"/>
          <w:highlight w:val="none"/>
        </w:rPr>
      </w:pPr>
      <w:r>
        <w:rPr>
          <w:rFonts w:hint="eastAsia" w:ascii="宋体" w:hAnsi="宋体" w:cs="宋体"/>
          <w:color w:val="auto"/>
          <w:sz w:val="24"/>
          <w:highlight w:val="none"/>
        </w:rPr>
        <w:t>2.5.4单位负责人为同一人或者存在控股、管理关系的不同单位，不得同时参加同一项目投标；法定代表人为同一个人的两个以上法人，母公司、全资子公司及存在控股关系的公司不得同时参加同一项目的投标。【提供在“国家企业信用信息公示系统”中查询打印的相关材料并加盖公章（需显示公司基本信息、主要人员信息、股东信息）】。</w:t>
      </w:r>
    </w:p>
    <w:p>
      <w:pPr>
        <w:spacing w:line="440" w:lineRule="exact"/>
        <w:ind w:left="479" w:leftChars="228"/>
        <w:rPr>
          <w:rFonts w:hint="eastAsia" w:ascii="宋体" w:hAnsi="宋体" w:cs="宋体"/>
          <w:color w:val="auto"/>
          <w:sz w:val="24"/>
          <w:highlight w:val="none"/>
        </w:rPr>
      </w:pPr>
      <w:r>
        <w:rPr>
          <w:rFonts w:hint="eastAsia" w:ascii="宋体" w:hAnsi="宋体" w:cs="宋体"/>
          <w:color w:val="auto"/>
          <w:sz w:val="24"/>
          <w:highlight w:val="none"/>
        </w:rPr>
        <w:t>2.6 本次采购不接受联合体投标。</w:t>
      </w:r>
    </w:p>
    <w:p>
      <w:pPr>
        <w:spacing w:line="440" w:lineRule="exact"/>
        <w:ind w:left="479" w:leftChars="228"/>
        <w:rPr>
          <w:rFonts w:hint="eastAsia" w:ascii="宋体" w:hAnsi="宋体" w:cs="宋体"/>
          <w:b/>
          <w:bCs/>
          <w:color w:val="auto"/>
          <w:sz w:val="24"/>
          <w:highlight w:val="none"/>
        </w:rPr>
      </w:pPr>
      <w:r>
        <w:rPr>
          <w:rFonts w:hint="eastAsia" w:ascii="宋体" w:hAnsi="宋体" w:cs="宋体"/>
          <w:b/>
          <w:bCs/>
          <w:color w:val="auto"/>
          <w:sz w:val="24"/>
          <w:highlight w:val="none"/>
        </w:rPr>
        <w:t>三、获取</w:t>
      </w:r>
      <w:bookmarkEnd w:id="12"/>
      <w:bookmarkEnd w:id="13"/>
      <w:bookmarkEnd w:id="14"/>
      <w:bookmarkEnd w:id="15"/>
      <w:r>
        <w:rPr>
          <w:rFonts w:hint="eastAsia" w:ascii="宋体" w:hAnsi="宋体" w:cs="宋体"/>
          <w:b/>
          <w:bCs/>
          <w:color w:val="auto"/>
          <w:sz w:val="24"/>
          <w:highlight w:val="none"/>
        </w:rPr>
        <w:t>竞争性磋商文件</w:t>
      </w:r>
      <w:bookmarkStart w:id="16" w:name="_Toc28359015"/>
      <w:bookmarkStart w:id="17" w:name="_Toc35393801"/>
      <w:bookmarkStart w:id="18" w:name="_Toc28359092"/>
      <w:bookmarkStart w:id="19" w:name="_Toc35393632"/>
    </w:p>
    <w:p>
      <w:pPr>
        <w:spacing w:line="440" w:lineRule="exact"/>
        <w:ind w:left="479" w:leftChars="228"/>
        <w:rPr>
          <w:rFonts w:hint="eastAsia" w:ascii="宋体" w:hAnsi="宋体" w:cs="宋体"/>
          <w:color w:val="auto"/>
          <w:sz w:val="24"/>
          <w:highlight w:val="none"/>
          <w:lang w:val="zh-CN"/>
        </w:rPr>
      </w:pPr>
      <w:r>
        <w:rPr>
          <w:rFonts w:hint="eastAsia" w:ascii="宋体" w:hAnsi="宋体" w:cs="宋体"/>
          <w:color w:val="auto"/>
          <w:sz w:val="24"/>
          <w:highlight w:val="none"/>
          <w:lang w:val="zh-CN"/>
        </w:rPr>
        <w:t>1.时间:20</w:t>
      </w:r>
      <w:r>
        <w:rPr>
          <w:rFonts w:hint="eastAsia" w:ascii="宋体" w:hAnsi="宋体" w:cs="宋体"/>
          <w:color w:val="auto"/>
          <w:sz w:val="24"/>
          <w:highlight w:val="none"/>
        </w:rPr>
        <w:t>20</w:t>
      </w:r>
      <w:r>
        <w:rPr>
          <w:rFonts w:hint="eastAsia" w:ascii="宋体" w:hAnsi="宋体" w:cs="宋体"/>
          <w:color w:val="auto"/>
          <w:sz w:val="24"/>
          <w:highlight w:val="none"/>
          <w:lang w:val="zh-CN"/>
        </w:rPr>
        <w:t>年</w:t>
      </w:r>
      <w:r>
        <w:rPr>
          <w:rFonts w:hint="eastAsia" w:ascii="宋体" w:hAnsi="宋体" w:cs="宋体"/>
          <w:color w:val="auto"/>
          <w:sz w:val="24"/>
          <w:highlight w:val="none"/>
        </w:rPr>
        <w:t>12</w:t>
      </w:r>
      <w:r>
        <w:rPr>
          <w:rFonts w:hint="eastAsia" w:ascii="宋体" w:hAnsi="宋体" w:cs="宋体"/>
          <w:color w:val="auto"/>
          <w:sz w:val="24"/>
          <w:highlight w:val="none"/>
          <w:lang w:val="zh-CN"/>
        </w:rPr>
        <w:t>月</w:t>
      </w:r>
      <w:r>
        <w:rPr>
          <w:rFonts w:hint="eastAsia" w:ascii="宋体" w:hAnsi="宋体" w:cs="宋体"/>
          <w:color w:val="auto"/>
          <w:sz w:val="24"/>
          <w:highlight w:val="none"/>
          <w:lang w:val="en-US" w:eastAsia="zh-CN"/>
        </w:rPr>
        <w:t>02</w:t>
      </w:r>
      <w:r>
        <w:rPr>
          <w:rFonts w:hint="eastAsia" w:ascii="宋体" w:hAnsi="宋体" w:cs="宋体"/>
          <w:color w:val="auto"/>
          <w:sz w:val="24"/>
          <w:highlight w:val="none"/>
          <w:lang w:val="zh-CN"/>
        </w:rPr>
        <w:t>日至20</w:t>
      </w:r>
      <w:r>
        <w:rPr>
          <w:rFonts w:hint="eastAsia" w:ascii="宋体" w:hAnsi="宋体" w:cs="宋体"/>
          <w:color w:val="auto"/>
          <w:sz w:val="24"/>
          <w:highlight w:val="none"/>
        </w:rPr>
        <w:t>20</w:t>
      </w:r>
      <w:r>
        <w:rPr>
          <w:rFonts w:hint="eastAsia" w:ascii="宋体" w:hAnsi="宋体" w:cs="宋体"/>
          <w:color w:val="auto"/>
          <w:sz w:val="24"/>
          <w:highlight w:val="none"/>
          <w:lang w:val="zh-CN"/>
        </w:rPr>
        <w:t>年</w:t>
      </w:r>
      <w:r>
        <w:rPr>
          <w:rFonts w:hint="eastAsia" w:ascii="宋体" w:hAnsi="宋体" w:cs="宋体"/>
          <w:color w:val="auto"/>
          <w:sz w:val="24"/>
          <w:highlight w:val="none"/>
        </w:rPr>
        <w:t>12</w:t>
      </w:r>
      <w:r>
        <w:rPr>
          <w:rFonts w:hint="eastAsia" w:ascii="宋体" w:hAnsi="宋体" w:cs="宋体"/>
          <w:color w:val="auto"/>
          <w:sz w:val="24"/>
          <w:highlight w:val="none"/>
          <w:lang w:val="zh-CN"/>
        </w:rPr>
        <w:t>月</w:t>
      </w:r>
      <w:r>
        <w:rPr>
          <w:rFonts w:hint="eastAsia" w:ascii="宋体" w:hAnsi="宋体" w:cs="宋体"/>
          <w:color w:val="auto"/>
          <w:sz w:val="24"/>
          <w:highlight w:val="none"/>
          <w:lang w:val="en-US" w:eastAsia="zh-CN"/>
        </w:rPr>
        <w:t>08</w:t>
      </w:r>
      <w:r>
        <w:rPr>
          <w:rFonts w:hint="eastAsia" w:ascii="宋体" w:hAnsi="宋体" w:cs="宋体"/>
          <w:color w:val="auto"/>
          <w:sz w:val="24"/>
          <w:highlight w:val="none"/>
          <w:lang w:val="zh-CN"/>
        </w:rPr>
        <w:t>日（北京时间，法定节假日除外）；</w:t>
      </w:r>
    </w:p>
    <w:p>
      <w:pPr>
        <w:spacing w:line="440" w:lineRule="exact"/>
        <w:ind w:left="479" w:leftChars="228"/>
        <w:rPr>
          <w:rFonts w:hint="eastAsia" w:ascii="宋体" w:hAnsi="宋体" w:cs="宋体"/>
          <w:color w:val="auto"/>
          <w:sz w:val="24"/>
          <w:highlight w:val="none"/>
          <w:lang w:val="zh-CN"/>
        </w:rPr>
      </w:pPr>
      <w:r>
        <w:rPr>
          <w:rFonts w:hint="eastAsia" w:ascii="宋体" w:hAnsi="宋体" w:cs="宋体"/>
          <w:color w:val="auto"/>
          <w:sz w:val="24"/>
          <w:highlight w:val="none"/>
          <w:lang w:val="zh-CN"/>
        </w:rPr>
        <w:t>2.地点：焦作市山阳区长恩路森林半岛西门南鑫诚国际；</w:t>
      </w:r>
    </w:p>
    <w:p>
      <w:pPr>
        <w:spacing w:line="440" w:lineRule="exact"/>
        <w:ind w:left="479" w:leftChars="228"/>
        <w:rPr>
          <w:rFonts w:hint="eastAsia" w:ascii="宋体" w:hAnsi="宋体" w:cs="宋体"/>
          <w:color w:val="auto"/>
          <w:sz w:val="24"/>
          <w:highlight w:val="none"/>
          <w:lang w:val="zh-CN"/>
        </w:rPr>
      </w:pPr>
      <w:r>
        <w:rPr>
          <w:rFonts w:hint="eastAsia" w:ascii="宋体" w:hAnsi="宋体" w:cs="宋体"/>
          <w:color w:val="auto"/>
          <w:sz w:val="24"/>
          <w:highlight w:val="none"/>
          <w:lang w:val="zh-CN"/>
        </w:rPr>
        <w:t>3.方式：采用现场获取竞争性磋商文件；</w:t>
      </w:r>
    </w:p>
    <w:p>
      <w:pPr>
        <w:spacing w:line="440" w:lineRule="exact"/>
        <w:ind w:left="479" w:leftChars="228"/>
        <w:rPr>
          <w:rFonts w:hint="eastAsia" w:ascii="宋体" w:hAnsi="宋体" w:cs="宋体"/>
          <w:color w:val="auto"/>
          <w:sz w:val="24"/>
          <w:highlight w:val="none"/>
          <w:lang w:val="zh-CN"/>
        </w:rPr>
      </w:pPr>
      <w:r>
        <w:rPr>
          <w:rFonts w:hint="eastAsia" w:ascii="宋体" w:hAnsi="宋体" w:cs="宋体"/>
          <w:color w:val="auto"/>
          <w:sz w:val="24"/>
          <w:highlight w:val="none"/>
          <w:lang w:val="zh-CN"/>
        </w:rPr>
        <w:t>4.售价：人民币</w:t>
      </w:r>
      <w:r>
        <w:rPr>
          <w:rFonts w:hint="eastAsia" w:ascii="宋体" w:hAnsi="宋体" w:cs="宋体"/>
          <w:color w:val="auto"/>
          <w:sz w:val="24"/>
          <w:highlight w:val="none"/>
        </w:rPr>
        <w:t>300</w:t>
      </w:r>
      <w:r>
        <w:rPr>
          <w:rFonts w:hint="eastAsia" w:ascii="宋体" w:hAnsi="宋体" w:cs="宋体"/>
          <w:color w:val="auto"/>
          <w:sz w:val="24"/>
          <w:highlight w:val="none"/>
          <w:lang w:val="zh-CN"/>
        </w:rPr>
        <w:t>元/份，现场出售（售后不退）。</w:t>
      </w:r>
    </w:p>
    <w:p>
      <w:pPr>
        <w:spacing w:line="440" w:lineRule="exact"/>
        <w:ind w:left="479" w:leftChars="228"/>
        <w:rPr>
          <w:rFonts w:hint="eastAsia" w:ascii="宋体" w:hAnsi="宋体" w:cs="宋体"/>
          <w:color w:val="auto"/>
          <w:sz w:val="24"/>
          <w:highlight w:val="none"/>
        </w:rPr>
      </w:pPr>
      <w:r>
        <w:rPr>
          <w:rFonts w:hint="eastAsia" w:ascii="宋体" w:hAnsi="宋体" w:cs="宋体"/>
          <w:color w:val="auto"/>
          <w:sz w:val="24"/>
          <w:highlight w:val="none"/>
        </w:rPr>
        <w:t>5.获取竞争性磋商文件需携带以下资料：</w:t>
      </w:r>
    </w:p>
    <w:p>
      <w:pPr>
        <w:spacing w:line="440" w:lineRule="exact"/>
        <w:ind w:left="479" w:leftChars="228"/>
        <w:rPr>
          <w:rFonts w:hint="eastAsia" w:ascii="宋体" w:hAnsi="宋体" w:cs="宋体"/>
          <w:color w:val="auto"/>
          <w:sz w:val="24"/>
          <w:highlight w:val="none"/>
        </w:rPr>
      </w:pPr>
      <w:r>
        <w:rPr>
          <w:rFonts w:hint="eastAsia" w:ascii="宋体" w:hAnsi="宋体" w:cs="宋体"/>
          <w:color w:val="auto"/>
          <w:sz w:val="24"/>
          <w:highlight w:val="none"/>
        </w:rPr>
        <w:t>营业执照、法定代表人授权书原件、法定代表人及被授权人身份证复印件。（以上资料留加盖投标供应商公章的复印件一套）。</w:t>
      </w:r>
    </w:p>
    <w:p>
      <w:pPr>
        <w:numPr>
          <w:ilvl w:val="0"/>
          <w:numId w:val="2"/>
        </w:numPr>
        <w:spacing w:line="440" w:lineRule="exact"/>
        <w:ind w:left="479" w:leftChars="228"/>
        <w:rPr>
          <w:rFonts w:hint="eastAsia" w:ascii="宋体" w:hAnsi="宋体" w:cs="宋体"/>
          <w:b/>
          <w:bCs/>
          <w:color w:val="auto"/>
          <w:sz w:val="24"/>
          <w:highlight w:val="none"/>
        </w:rPr>
      </w:pPr>
      <w:r>
        <w:rPr>
          <w:rFonts w:hint="eastAsia" w:ascii="宋体" w:hAnsi="宋体" w:cs="宋体"/>
          <w:b/>
          <w:bCs/>
          <w:color w:val="auto"/>
          <w:sz w:val="24"/>
          <w:highlight w:val="none"/>
        </w:rPr>
        <w:t>响应文件提交</w:t>
      </w:r>
      <w:bookmarkEnd w:id="16"/>
      <w:bookmarkEnd w:id="17"/>
      <w:bookmarkEnd w:id="18"/>
      <w:bookmarkEnd w:id="19"/>
      <w:bookmarkStart w:id="20" w:name="_Toc28359016"/>
      <w:bookmarkStart w:id="21" w:name="_Toc28359093"/>
      <w:bookmarkStart w:id="22" w:name="_Toc35393633"/>
      <w:bookmarkStart w:id="23" w:name="_Toc35393802"/>
    </w:p>
    <w:p>
      <w:pPr>
        <w:spacing w:line="440" w:lineRule="exact"/>
        <w:ind w:left="479" w:leftChars="228"/>
        <w:rPr>
          <w:rFonts w:hint="eastAsia" w:ascii="宋体" w:hAnsi="宋体" w:cs="宋体"/>
          <w:color w:val="auto"/>
          <w:sz w:val="24"/>
          <w:highlight w:val="none"/>
        </w:rPr>
      </w:pPr>
      <w:r>
        <w:rPr>
          <w:rFonts w:hint="eastAsia" w:ascii="宋体" w:hAnsi="宋体" w:cs="宋体"/>
          <w:color w:val="auto"/>
          <w:sz w:val="24"/>
          <w:highlight w:val="none"/>
          <w:lang w:val="zh-CN"/>
        </w:rPr>
        <w:t xml:space="preserve">1. </w:t>
      </w:r>
      <w:r>
        <w:rPr>
          <w:rFonts w:hint="eastAsia" w:ascii="宋体" w:hAnsi="宋体" w:cs="宋体"/>
          <w:color w:val="auto"/>
          <w:sz w:val="24"/>
          <w:highlight w:val="none"/>
        </w:rPr>
        <w:t>截至</w:t>
      </w:r>
      <w:r>
        <w:rPr>
          <w:rFonts w:hint="eastAsia" w:ascii="宋体" w:hAnsi="宋体" w:cs="宋体"/>
          <w:color w:val="auto"/>
          <w:sz w:val="24"/>
          <w:highlight w:val="none"/>
          <w:lang w:val="zh-CN"/>
        </w:rPr>
        <w:t>时间：20</w:t>
      </w:r>
      <w:r>
        <w:rPr>
          <w:rFonts w:hint="eastAsia" w:ascii="宋体" w:hAnsi="宋体" w:cs="宋体"/>
          <w:color w:val="auto"/>
          <w:sz w:val="24"/>
          <w:highlight w:val="none"/>
        </w:rPr>
        <w:t>20</w:t>
      </w:r>
      <w:r>
        <w:rPr>
          <w:rFonts w:hint="eastAsia" w:ascii="宋体" w:hAnsi="宋体" w:cs="宋体"/>
          <w:color w:val="auto"/>
          <w:sz w:val="24"/>
          <w:highlight w:val="none"/>
          <w:lang w:val="zh-CN"/>
        </w:rPr>
        <w:t>年</w:t>
      </w:r>
      <w:r>
        <w:rPr>
          <w:rFonts w:hint="eastAsia" w:ascii="宋体" w:hAnsi="宋体" w:cs="宋体"/>
          <w:color w:val="auto"/>
          <w:sz w:val="24"/>
          <w:highlight w:val="none"/>
        </w:rPr>
        <w:t xml:space="preserve"> 12</w:t>
      </w:r>
      <w:r>
        <w:rPr>
          <w:rFonts w:hint="eastAsia" w:ascii="宋体" w:hAnsi="宋体" w:cs="宋体"/>
          <w:color w:val="auto"/>
          <w:sz w:val="24"/>
          <w:highlight w:val="none"/>
          <w:lang w:val="zh-CN"/>
        </w:rPr>
        <w:t>月</w:t>
      </w:r>
      <w:r>
        <w:rPr>
          <w:rFonts w:hint="eastAsia" w:ascii="宋体" w:hAnsi="宋体" w:cs="宋体"/>
          <w:color w:val="auto"/>
          <w:sz w:val="24"/>
          <w:highlight w:val="none"/>
          <w:lang w:val="en-US" w:eastAsia="zh-CN"/>
        </w:rPr>
        <w:t>14</w:t>
      </w:r>
      <w:r>
        <w:rPr>
          <w:rFonts w:hint="eastAsia" w:ascii="宋体" w:hAnsi="宋体" w:cs="宋体"/>
          <w:color w:val="auto"/>
          <w:sz w:val="24"/>
          <w:highlight w:val="none"/>
          <w:lang w:val="zh-CN"/>
        </w:rPr>
        <w:t>日</w:t>
      </w:r>
      <w:r>
        <w:rPr>
          <w:rFonts w:hint="eastAsia" w:ascii="宋体" w:hAnsi="宋体" w:cs="宋体"/>
          <w:color w:val="auto"/>
          <w:sz w:val="24"/>
          <w:highlight w:val="none"/>
          <w:lang w:val="en-US" w:eastAsia="zh-CN"/>
        </w:rPr>
        <w:t>14</w:t>
      </w:r>
      <w:r>
        <w:rPr>
          <w:rFonts w:hint="eastAsia" w:ascii="宋体" w:hAnsi="宋体" w:cs="宋体"/>
          <w:color w:val="auto"/>
          <w:sz w:val="24"/>
          <w:highlight w:val="none"/>
          <w:lang w:val="zh-CN"/>
        </w:rPr>
        <w:t>时</w:t>
      </w:r>
      <w:r>
        <w:rPr>
          <w:rFonts w:hint="eastAsia" w:ascii="宋体" w:hAnsi="宋体" w:cs="宋体"/>
          <w:color w:val="auto"/>
          <w:sz w:val="24"/>
          <w:highlight w:val="none"/>
        </w:rPr>
        <w:t>3</w:t>
      </w:r>
      <w:r>
        <w:rPr>
          <w:rFonts w:hint="eastAsia" w:ascii="宋体" w:hAnsi="宋体" w:cs="宋体"/>
          <w:color w:val="auto"/>
          <w:sz w:val="24"/>
          <w:highlight w:val="none"/>
          <w:lang w:val="zh-CN"/>
        </w:rPr>
        <w:t>0 分 (北京时间)</w:t>
      </w:r>
    </w:p>
    <w:p>
      <w:pPr>
        <w:spacing w:line="440" w:lineRule="exact"/>
        <w:ind w:left="479" w:leftChars="228"/>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zh-CN"/>
        </w:rPr>
        <w:t>2. 地点：</w:t>
      </w:r>
      <w:r>
        <w:rPr>
          <w:rFonts w:hint="eastAsia" w:ascii="宋体" w:hAnsi="宋体" w:cs="宋体"/>
          <w:color w:val="auto"/>
          <w:sz w:val="24"/>
          <w:highlight w:val="none"/>
          <w:lang w:eastAsia="zh-CN"/>
        </w:rPr>
        <w:t>郑州市金水区优胜南路26号15层1518号鑫诚国际工程咨询有限公司开标室</w:t>
      </w:r>
    </w:p>
    <w:p>
      <w:pPr>
        <w:spacing w:line="440" w:lineRule="exact"/>
        <w:ind w:left="479" w:leftChars="228"/>
        <w:rPr>
          <w:rFonts w:hint="eastAsia" w:ascii="宋体" w:hAnsi="宋体" w:cs="宋体"/>
          <w:b/>
          <w:bCs/>
          <w:color w:val="auto"/>
          <w:sz w:val="24"/>
          <w:highlight w:val="none"/>
        </w:rPr>
      </w:pPr>
      <w:r>
        <w:rPr>
          <w:rFonts w:hint="eastAsia" w:ascii="宋体" w:hAnsi="宋体" w:cs="宋体"/>
          <w:b/>
          <w:bCs/>
          <w:color w:val="auto"/>
          <w:sz w:val="24"/>
          <w:highlight w:val="none"/>
        </w:rPr>
        <w:t>五、</w:t>
      </w:r>
      <w:bookmarkEnd w:id="20"/>
      <w:bookmarkEnd w:id="21"/>
      <w:bookmarkEnd w:id="22"/>
      <w:bookmarkEnd w:id="23"/>
      <w:r>
        <w:rPr>
          <w:rFonts w:hint="eastAsia" w:ascii="宋体" w:hAnsi="宋体" w:cs="宋体"/>
          <w:b/>
          <w:bCs/>
          <w:color w:val="auto"/>
          <w:sz w:val="24"/>
          <w:szCs w:val="21"/>
          <w:highlight w:val="none"/>
        </w:rPr>
        <w:t>响应文件开启</w:t>
      </w:r>
    </w:p>
    <w:p>
      <w:pPr>
        <w:keepNext/>
        <w:keepLines/>
        <w:spacing w:line="440" w:lineRule="exact"/>
        <w:ind w:firstLine="480" w:firstLineChars="200"/>
        <w:outlineLvl w:val="1"/>
        <w:rPr>
          <w:rFonts w:hint="eastAsia" w:ascii="宋体" w:hAnsi="宋体" w:cs="宋体"/>
          <w:color w:val="auto"/>
          <w:sz w:val="24"/>
          <w:highlight w:val="none"/>
          <w:lang w:val="zh-CN"/>
        </w:rPr>
      </w:pPr>
      <w:bookmarkStart w:id="24" w:name="_Toc28359017"/>
      <w:bookmarkStart w:id="25" w:name="_Toc35393634"/>
      <w:bookmarkStart w:id="26" w:name="_Toc28359094"/>
      <w:bookmarkStart w:id="27" w:name="_Toc35393803"/>
      <w:r>
        <w:rPr>
          <w:rFonts w:hint="eastAsia" w:ascii="宋体" w:hAnsi="宋体" w:cs="宋体"/>
          <w:color w:val="auto"/>
          <w:sz w:val="24"/>
          <w:highlight w:val="none"/>
          <w:lang w:val="zh-CN"/>
        </w:rPr>
        <w:t>1.时间：20</w:t>
      </w:r>
      <w:r>
        <w:rPr>
          <w:rFonts w:hint="eastAsia" w:ascii="宋体" w:hAnsi="宋体" w:cs="宋体"/>
          <w:color w:val="auto"/>
          <w:sz w:val="24"/>
          <w:highlight w:val="none"/>
        </w:rPr>
        <w:t>20</w:t>
      </w:r>
      <w:r>
        <w:rPr>
          <w:rFonts w:hint="eastAsia" w:ascii="宋体" w:hAnsi="宋体" w:cs="宋体"/>
          <w:color w:val="auto"/>
          <w:sz w:val="24"/>
          <w:highlight w:val="none"/>
          <w:lang w:val="zh-CN"/>
        </w:rPr>
        <w:t>年</w:t>
      </w:r>
      <w:r>
        <w:rPr>
          <w:rFonts w:hint="eastAsia" w:ascii="宋体" w:hAnsi="宋体" w:cs="宋体"/>
          <w:color w:val="auto"/>
          <w:sz w:val="24"/>
          <w:highlight w:val="none"/>
        </w:rPr>
        <w:t>12月</w:t>
      </w:r>
      <w:r>
        <w:rPr>
          <w:rFonts w:hint="eastAsia" w:ascii="宋体" w:hAnsi="宋体" w:cs="宋体"/>
          <w:color w:val="auto"/>
          <w:sz w:val="24"/>
          <w:highlight w:val="none"/>
          <w:lang w:val="en-US" w:eastAsia="zh-CN"/>
        </w:rPr>
        <w:t>14</w:t>
      </w:r>
      <w:r>
        <w:rPr>
          <w:rFonts w:hint="eastAsia" w:ascii="宋体" w:hAnsi="宋体" w:cs="宋体"/>
          <w:color w:val="auto"/>
          <w:sz w:val="24"/>
          <w:highlight w:val="none"/>
          <w:lang w:val="zh-CN"/>
        </w:rPr>
        <w:t>日</w:t>
      </w:r>
      <w:r>
        <w:rPr>
          <w:rFonts w:hint="eastAsia" w:ascii="宋体" w:hAnsi="宋体" w:cs="宋体"/>
          <w:color w:val="auto"/>
          <w:sz w:val="24"/>
          <w:highlight w:val="none"/>
          <w:lang w:val="en-US" w:eastAsia="zh-CN"/>
        </w:rPr>
        <w:t>14</w:t>
      </w:r>
      <w:r>
        <w:rPr>
          <w:rFonts w:hint="eastAsia" w:ascii="宋体" w:hAnsi="宋体" w:cs="宋体"/>
          <w:color w:val="auto"/>
          <w:sz w:val="24"/>
          <w:highlight w:val="none"/>
          <w:lang w:val="zh-CN"/>
        </w:rPr>
        <w:t>时</w:t>
      </w:r>
      <w:r>
        <w:rPr>
          <w:rFonts w:hint="eastAsia" w:ascii="宋体" w:hAnsi="宋体" w:cs="宋体"/>
          <w:color w:val="auto"/>
          <w:sz w:val="24"/>
          <w:highlight w:val="none"/>
        </w:rPr>
        <w:t>3</w:t>
      </w:r>
      <w:r>
        <w:rPr>
          <w:rFonts w:hint="eastAsia" w:ascii="宋体" w:hAnsi="宋体" w:cs="宋体"/>
          <w:color w:val="auto"/>
          <w:sz w:val="24"/>
          <w:highlight w:val="none"/>
          <w:lang w:val="zh-CN"/>
        </w:rPr>
        <w:t>0 分 (北京时间)</w:t>
      </w:r>
    </w:p>
    <w:p>
      <w:pPr>
        <w:keepNext/>
        <w:keepLines/>
        <w:spacing w:line="440" w:lineRule="exact"/>
        <w:ind w:firstLine="480" w:firstLineChars="200"/>
        <w:outlineLvl w:val="1"/>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zh-CN"/>
        </w:rPr>
        <w:t>2.地点：</w:t>
      </w:r>
      <w:r>
        <w:rPr>
          <w:rFonts w:hint="eastAsia" w:ascii="宋体" w:hAnsi="宋体" w:cs="宋体"/>
          <w:color w:val="auto"/>
          <w:sz w:val="24"/>
          <w:highlight w:val="none"/>
          <w:lang w:eastAsia="zh-CN"/>
        </w:rPr>
        <w:t>郑州市金水区优胜南路26号15层1518号鑫诚国际工程咨询有限公司开标室</w:t>
      </w:r>
    </w:p>
    <w:p>
      <w:pPr>
        <w:keepNext/>
        <w:keepLines/>
        <w:spacing w:line="440" w:lineRule="exact"/>
        <w:ind w:firstLine="482" w:firstLineChars="200"/>
        <w:outlineLvl w:val="1"/>
        <w:rPr>
          <w:rFonts w:hint="eastAsia" w:ascii="宋体" w:hAnsi="宋体" w:cs="宋体"/>
          <w:b/>
          <w:bCs/>
          <w:color w:val="auto"/>
          <w:sz w:val="24"/>
          <w:highlight w:val="none"/>
        </w:rPr>
      </w:pPr>
      <w:r>
        <w:rPr>
          <w:rFonts w:hint="eastAsia" w:ascii="宋体" w:hAnsi="宋体" w:cs="宋体"/>
          <w:b/>
          <w:bCs/>
          <w:color w:val="auto"/>
          <w:sz w:val="24"/>
          <w:highlight w:val="none"/>
        </w:rPr>
        <w:t>六、</w:t>
      </w:r>
      <w:bookmarkEnd w:id="24"/>
      <w:bookmarkEnd w:id="25"/>
      <w:bookmarkEnd w:id="26"/>
      <w:bookmarkEnd w:id="27"/>
      <w:r>
        <w:rPr>
          <w:rFonts w:hint="eastAsia" w:ascii="宋体" w:hAnsi="宋体" w:cs="宋体"/>
          <w:b/>
          <w:bCs/>
          <w:color w:val="auto"/>
          <w:sz w:val="24"/>
          <w:highlight w:val="none"/>
        </w:rPr>
        <w:t>发布公告的的媒介及公告期限</w:t>
      </w:r>
    </w:p>
    <w:p>
      <w:pPr>
        <w:keepNext/>
        <w:keepLines/>
        <w:spacing w:line="440" w:lineRule="exact"/>
        <w:ind w:firstLine="480" w:firstLineChars="200"/>
        <w:outlineLvl w:val="1"/>
        <w:rPr>
          <w:rFonts w:hint="eastAsia" w:ascii="宋体" w:hAnsi="宋体" w:cs="宋体"/>
          <w:color w:val="auto"/>
          <w:sz w:val="24"/>
          <w:highlight w:val="none"/>
        </w:rPr>
      </w:pPr>
      <w:r>
        <w:rPr>
          <w:rFonts w:hint="eastAsia" w:ascii="宋体" w:hAnsi="宋体" w:cs="宋体"/>
          <w:color w:val="auto"/>
          <w:sz w:val="24"/>
          <w:szCs w:val="32"/>
          <w:highlight w:val="none"/>
        </w:rPr>
        <w:t>《中国招标投标公共服务平台》、</w:t>
      </w:r>
      <w:r>
        <w:rPr>
          <w:rFonts w:hint="eastAsia" w:ascii="宋体" w:hAnsi="宋体" w:cs="宋体"/>
          <w:color w:val="auto"/>
          <w:sz w:val="24"/>
          <w:highlight w:val="none"/>
        </w:rPr>
        <w:t>《河南省电子招标投标公共服务平台》、《河南理工大学校园网》</w:t>
      </w:r>
      <w:r>
        <w:rPr>
          <w:rFonts w:hint="eastAsia" w:ascii="宋体" w:hAnsi="宋体" w:cs="宋体"/>
          <w:color w:val="auto"/>
          <w:sz w:val="24"/>
          <w:szCs w:val="32"/>
          <w:highlight w:val="none"/>
        </w:rPr>
        <w:t>上发布。</w:t>
      </w:r>
    </w:p>
    <w:p>
      <w:pPr>
        <w:spacing w:line="44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自本公告发布之日起3个工作日。</w:t>
      </w:r>
    </w:p>
    <w:p>
      <w:pPr>
        <w:keepNext/>
        <w:keepLines/>
        <w:spacing w:line="440" w:lineRule="exact"/>
        <w:ind w:firstLine="482" w:firstLineChars="200"/>
        <w:outlineLvl w:val="1"/>
        <w:rPr>
          <w:rFonts w:hint="eastAsia" w:ascii="宋体" w:hAnsi="宋体" w:cs="宋体"/>
          <w:b/>
          <w:bCs/>
          <w:color w:val="auto"/>
          <w:sz w:val="24"/>
          <w:highlight w:val="none"/>
        </w:rPr>
      </w:pPr>
      <w:bookmarkStart w:id="28" w:name="_Toc35393804"/>
      <w:bookmarkStart w:id="29" w:name="_Toc35393635"/>
      <w:r>
        <w:rPr>
          <w:rFonts w:hint="eastAsia" w:ascii="宋体" w:hAnsi="宋体" w:cs="宋体"/>
          <w:b/>
          <w:bCs/>
          <w:color w:val="auto"/>
          <w:sz w:val="24"/>
          <w:highlight w:val="none"/>
        </w:rPr>
        <w:t>七、其他补充事宜</w:t>
      </w:r>
      <w:bookmarkEnd w:id="28"/>
      <w:bookmarkEnd w:id="29"/>
      <w:r>
        <w:rPr>
          <w:rFonts w:hint="eastAsia" w:ascii="宋体" w:hAnsi="宋体" w:cs="宋体"/>
          <w:b/>
          <w:bCs/>
          <w:color w:val="auto"/>
          <w:sz w:val="24"/>
          <w:highlight w:val="none"/>
        </w:rPr>
        <w:t>：无</w:t>
      </w:r>
    </w:p>
    <w:p>
      <w:pPr>
        <w:keepNext/>
        <w:keepLines/>
        <w:spacing w:line="440" w:lineRule="exact"/>
        <w:ind w:firstLine="482" w:firstLineChars="200"/>
        <w:outlineLvl w:val="1"/>
        <w:rPr>
          <w:rFonts w:hint="eastAsia" w:ascii="宋体" w:hAnsi="宋体" w:cs="宋体"/>
          <w:b/>
          <w:bCs/>
          <w:color w:val="auto"/>
          <w:sz w:val="24"/>
          <w:highlight w:val="none"/>
        </w:rPr>
      </w:pPr>
      <w:bookmarkStart w:id="30" w:name="_Toc35393805"/>
      <w:bookmarkStart w:id="31" w:name="_Toc28359095"/>
      <w:bookmarkStart w:id="32" w:name="_Toc28359018"/>
      <w:bookmarkStart w:id="33" w:name="_Toc35393636"/>
      <w:r>
        <w:rPr>
          <w:rFonts w:hint="eastAsia" w:ascii="宋体" w:hAnsi="宋体" w:cs="宋体"/>
          <w:b/>
          <w:bCs/>
          <w:color w:val="auto"/>
          <w:sz w:val="24"/>
          <w:highlight w:val="none"/>
        </w:rPr>
        <w:t>八、凡对本次采购提出询问，请按以下方式联系。</w:t>
      </w:r>
      <w:bookmarkEnd w:id="30"/>
      <w:bookmarkEnd w:id="31"/>
      <w:bookmarkEnd w:id="32"/>
      <w:bookmarkEnd w:id="33"/>
    </w:p>
    <w:p>
      <w:pPr>
        <w:spacing w:line="440" w:lineRule="exact"/>
        <w:ind w:firstLine="480" w:firstLineChars="200"/>
        <w:rPr>
          <w:rFonts w:hint="eastAsia" w:ascii="宋体" w:hAnsi="宋体" w:cs="宋体"/>
          <w:color w:val="auto"/>
          <w:sz w:val="24"/>
          <w:szCs w:val="21"/>
          <w:highlight w:val="none"/>
        </w:rPr>
      </w:pPr>
      <w:r>
        <w:rPr>
          <w:rFonts w:hint="eastAsia" w:ascii="宋体" w:hAnsi="宋体" w:cs="宋体"/>
          <w:color w:val="auto"/>
          <w:sz w:val="24"/>
          <w:szCs w:val="21"/>
          <w:highlight w:val="none"/>
        </w:rPr>
        <w:t>1、采购人信息</w:t>
      </w:r>
    </w:p>
    <w:p>
      <w:pPr>
        <w:spacing w:line="440" w:lineRule="exact"/>
        <w:ind w:firstLine="480" w:firstLineChars="200"/>
        <w:rPr>
          <w:rFonts w:hint="eastAsia" w:ascii="宋体" w:hAnsi="宋体" w:cs="宋体"/>
          <w:color w:val="auto"/>
          <w:sz w:val="24"/>
          <w:szCs w:val="21"/>
          <w:highlight w:val="none"/>
        </w:rPr>
      </w:pPr>
      <w:r>
        <w:rPr>
          <w:rFonts w:hint="eastAsia" w:ascii="宋体" w:hAnsi="宋体" w:cs="宋体"/>
          <w:color w:val="auto"/>
          <w:sz w:val="24"/>
          <w:szCs w:val="21"/>
          <w:highlight w:val="none"/>
        </w:rPr>
        <w:t>名称：河南理工大学</w:t>
      </w:r>
    </w:p>
    <w:p>
      <w:pPr>
        <w:spacing w:line="440" w:lineRule="exact"/>
        <w:ind w:firstLine="480" w:firstLineChars="200"/>
        <w:rPr>
          <w:rFonts w:hint="eastAsia" w:ascii="宋体" w:hAnsi="宋体" w:cs="宋体"/>
          <w:color w:val="auto"/>
          <w:sz w:val="24"/>
          <w:szCs w:val="21"/>
          <w:highlight w:val="none"/>
        </w:rPr>
      </w:pPr>
      <w:r>
        <w:rPr>
          <w:rFonts w:hint="eastAsia" w:ascii="宋体" w:hAnsi="宋体" w:cs="宋体"/>
          <w:color w:val="auto"/>
          <w:sz w:val="24"/>
          <w:szCs w:val="21"/>
          <w:highlight w:val="none"/>
        </w:rPr>
        <w:t>地址：河南省焦作市世纪大道2001号</w:t>
      </w:r>
    </w:p>
    <w:p>
      <w:pPr>
        <w:spacing w:line="440" w:lineRule="exact"/>
        <w:ind w:firstLine="480" w:firstLineChars="200"/>
        <w:rPr>
          <w:rFonts w:hint="eastAsia" w:ascii="宋体" w:hAnsi="宋体" w:cs="宋体"/>
          <w:color w:val="auto"/>
          <w:sz w:val="24"/>
          <w:szCs w:val="21"/>
          <w:highlight w:val="none"/>
        </w:rPr>
      </w:pPr>
      <w:r>
        <w:rPr>
          <w:rFonts w:hint="eastAsia" w:ascii="宋体" w:hAnsi="宋体" w:cs="宋体"/>
          <w:color w:val="auto"/>
          <w:sz w:val="24"/>
          <w:szCs w:val="21"/>
          <w:highlight w:val="none"/>
        </w:rPr>
        <w:t>联系人：高老师</w:t>
      </w:r>
    </w:p>
    <w:p>
      <w:pPr>
        <w:spacing w:line="440" w:lineRule="exact"/>
        <w:ind w:firstLine="480" w:firstLineChars="200"/>
        <w:rPr>
          <w:rFonts w:hint="eastAsia" w:ascii="宋体" w:hAnsi="宋体" w:cs="宋体"/>
          <w:color w:val="auto"/>
          <w:sz w:val="24"/>
          <w:szCs w:val="21"/>
          <w:highlight w:val="none"/>
        </w:rPr>
      </w:pPr>
      <w:r>
        <w:rPr>
          <w:rFonts w:hint="eastAsia" w:ascii="宋体" w:hAnsi="宋体" w:cs="宋体"/>
          <w:color w:val="auto"/>
          <w:sz w:val="24"/>
          <w:szCs w:val="21"/>
          <w:highlight w:val="none"/>
        </w:rPr>
        <w:t>联系方式：0391-3987075</w:t>
      </w:r>
    </w:p>
    <w:p>
      <w:pPr>
        <w:spacing w:line="440" w:lineRule="exact"/>
        <w:ind w:firstLine="480" w:firstLineChars="200"/>
        <w:rPr>
          <w:rFonts w:hint="eastAsia" w:ascii="宋体" w:hAnsi="宋体" w:cs="宋体"/>
          <w:color w:val="auto"/>
          <w:sz w:val="24"/>
          <w:szCs w:val="21"/>
          <w:highlight w:val="none"/>
        </w:rPr>
      </w:pPr>
      <w:r>
        <w:rPr>
          <w:rFonts w:hint="eastAsia" w:ascii="宋体" w:hAnsi="宋体" w:cs="宋体"/>
          <w:color w:val="auto"/>
          <w:sz w:val="24"/>
          <w:szCs w:val="21"/>
          <w:highlight w:val="none"/>
        </w:rPr>
        <w:t>2、采购代理机构信息</w:t>
      </w:r>
    </w:p>
    <w:p>
      <w:pPr>
        <w:spacing w:line="440" w:lineRule="exact"/>
        <w:ind w:firstLine="480" w:firstLineChars="200"/>
        <w:rPr>
          <w:rFonts w:hint="eastAsia" w:ascii="宋体" w:hAnsi="宋体" w:cs="宋体"/>
          <w:color w:val="auto"/>
          <w:sz w:val="24"/>
          <w:szCs w:val="21"/>
          <w:highlight w:val="none"/>
        </w:rPr>
      </w:pPr>
      <w:r>
        <w:rPr>
          <w:rFonts w:hint="eastAsia" w:ascii="宋体" w:hAnsi="宋体" w:cs="宋体"/>
          <w:color w:val="auto"/>
          <w:sz w:val="24"/>
          <w:szCs w:val="21"/>
          <w:highlight w:val="none"/>
        </w:rPr>
        <w:t>名称：鑫诚国际工程咨询有限公司</w:t>
      </w:r>
    </w:p>
    <w:p>
      <w:pPr>
        <w:spacing w:line="440" w:lineRule="exact"/>
        <w:ind w:firstLine="480" w:firstLineChars="200"/>
        <w:rPr>
          <w:rFonts w:hint="eastAsia" w:ascii="宋体" w:hAnsi="宋体" w:cs="宋体"/>
          <w:color w:val="auto"/>
          <w:sz w:val="24"/>
          <w:szCs w:val="21"/>
          <w:highlight w:val="none"/>
        </w:rPr>
      </w:pPr>
      <w:r>
        <w:rPr>
          <w:rFonts w:hint="eastAsia" w:ascii="宋体" w:hAnsi="宋体" w:cs="宋体"/>
          <w:color w:val="auto"/>
          <w:sz w:val="24"/>
          <w:szCs w:val="21"/>
          <w:highlight w:val="none"/>
        </w:rPr>
        <w:t xml:space="preserve">地址：郑州市优胜南路与文化路西北角国奥商务22层 </w:t>
      </w:r>
    </w:p>
    <w:p>
      <w:pPr>
        <w:spacing w:line="440" w:lineRule="exact"/>
        <w:ind w:firstLine="480" w:firstLineChars="200"/>
        <w:rPr>
          <w:rFonts w:hint="eastAsia" w:ascii="宋体" w:hAnsi="宋体" w:cs="宋体"/>
          <w:color w:val="auto"/>
          <w:sz w:val="24"/>
          <w:szCs w:val="21"/>
          <w:highlight w:val="none"/>
        </w:rPr>
      </w:pPr>
      <w:r>
        <w:rPr>
          <w:rFonts w:hint="eastAsia" w:ascii="宋体" w:hAnsi="宋体" w:cs="宋体"/>
          <w:color w:val="auto"/>
          <w:sz w:val="24"/>
          <w:szCs w:val="21"/>
          <w:highlight w:val="none"/>
        </w:rPr>
        <w:t>联系人：白先生</w:t>
      </w:r>
    </w:p>
    <w:p>
      <w:pPr>
        <w:spacing w:line="440" w:lineRule="exact"/>
        <w:ind w:firstLine="480" w:firstLineChars="200"/>
        <w:rPr>
          <w:rFonts w:hint="eastAsia" w:ascii="宋体" w:hAnsi="宋体" w:cs="宋体"/>
          <w:color w:val="auto"/>
          <w:sz w:val="24"/>
          <w:szCs w:val="21"/>
          <w:highlight w:val="none"/>
        </w:rPr>
      </w:pPr>
      <w:r>
        <w:rPr>
          <w:rFonts w:hint="eastAsia" w:ascii="宋体" w:hAnsi="宋体" w:cs="宋体"/>
          <w:color w:val="auto"/>
          <w:sz w:val="24"/>
          <w:szCs w:val="21"/>
          <w:highlight w:val="none"/>
        </w:rPr>
        <w:t>联系方式：0391-8791306/18539120007</w:t>
      </w:r>
    </w:p>
    <w:p>
      <w:pPr>
        <w:spacing w:line="440" w:lineRule="exact"/>
        <w:ind w:firstLine="480" w:firstLineChars="200"/>
        <w:rPr>
          <w:rFonts w:hint="eastAsia" w:ascii="宋体" w:hAnsi="宋体" w:cs="宋体"/>
          <w:color w:val="auto"/>
          <w:sz w:val="24"/>
          <w:szCs w:val="21"/>
          <w:highlight w:val="none"/>
        </w:rPr>
      </w:pPr>
      <w:r>
        <w:rPr>
          <w:rFonts w:hint="eastAsia" w:ascii="宋体" w:hAnsi="宋体" w:cs="宋体"/>
          <w:color w:val="auto"/>
          <w:sz w:val="24"/>
          <w:szCs w:val="21"/>
          <w:highlight w:val="none"/>
        </w:rPr>
        <w:t>3、项目联系方式</w:t>
      </w:r>
    </w:p>
    <w:p>
      <w:pPr>
        <w:spacing w:line="440" w:lineRule="exact"/>
        <w:ind w:firstLine="480" w:firstLineChars="200"/>
        <w:rPr>
          <w:rFonts w:hint="eastAsia" w:ascii="宋体" w:hAnsi="宋体" w:cs="宋体"/>
          <w:color w:val="auto"/>
          <w:sz w:val="24"/>
          <w:szCs w:val="21"/>
          <w:highlight w:val="none"/>
        </w:rPr>
      </w:pPr>
      <w:r>
        <w:rPr>
          <w:rFonts w:hint="eastAsia" w:ascii="宋体" w:hAnsi="宋体" w:cs="宋体"/>
          <w:color w:val="auto"/>
          <w:sz w:val="24"/>
          <w:szCs w:val="21"/>
          <w:highlight w:val="none"/>
        </w:rPr>
        <w:t>项目联系人：高老师/白先生</w:t>
      </w:r>
    </w:p>
    <w:p>
      <w:pPr>
        <w:spacing w:line="440" w:lineRule="exact"/>
        <w:ind w:firstLine="480" w:firstLineChars="200"/>
        <w:rPr>
          <w:rFonts w:hint="eastAsia" w:ascii="宋体" w:hAnsi="宋体" w:cs="宋体"/>
          <w:color w:val="auto"/>
          <w:sz w:val="24"/>
          <w:szCs w:val="21"/>
          <w:highlight w:val="none"/>
        </w:rPr>
      </w:pPr>
      <w:r>
        <w:rPr>
          <w:rFonts w:hint="eastAsia" w:ascii="宋体" w:hAnsi="宋体" w:cs="宋体"/>
          <w:color w:val="auto"/>
          <w:sz w:val="24"/>
          <w:szCs w:val="21"/>
          <w:highlight w:val="none"/>
        </w:rPr>
        <w:t>联系方式：0391-3987075/0391-8791306/18539120007</w:t>
      </w:r>
    </w:p>
    <w:p>
      <w:pPr>
        <w:spacing w:line="440" w:lineRule="exact"/>
        <w:ind w:firstLine="480" w:firstLineChars="200"/>
        <w:jc w:val="right"/>
        <w:rPr>
          <w:rFonts w:ascii="宋体" w:hAnsi="宋体" w:cs="宋体"/>
          <w:color w:val="auto"/>
          <w:sz w:val="24"/>
          <w:szCs w:val="21"/>
          <w:highlight w:val="none"/>
        </w:rPr>
      </w:pPr>
      <w:r>
        <w:rPr>
          <w:rFonts w:hint="eastAsia" w:ascii="宋体" w:hAnsi="宋体" w:cs="宋体"/>
          <w:color w:val="auto"/>
          <w:sz w:val="24"/>
          <w:szCs w:val="21"/>
          <w:highlight w:val="none"/>
        </w:rPr>
        <w:t>发布人：鑫诚国际工程咨询有限公司</w:t>
      </w:r>
    </w:p>
    <w:p>
      <w:pPr>
        <w:spacing w:line="440" w:lineRule="exact"/>
        <w:jc w:val="right"/>
        <w:rPr>
          <w:rFonts w:hint="eastAsia" w:ascii="宋体" w:hAnsi="宋体" w:cs="宋体"/>
          <w:color w:val="auto"/>
          <w:sz w:val="24"/>
          <w:szCs w:val="21"/>
          <w:highlight w:val="none"/>
        </w:rPr>
      </w:pPr>
      <w:r>
        <w:rPr>
          <w:rFonts w:hint="eastAsia" w:ascii="宋体" w:hAnsi="宋体" w:cs="宋体"/>
          <w:color w:val="auto"/>
          <w:sz w:val="24"/>
          <w:szCs w:val="21"/>
          <w:highlight w:val="none"/>
        </w:rPr>
        <w:t>2020年12月</w:t>
      </w:r>
      <w:r>
        <w:rPr>
          <w:rFonts w:hint="eastAsia" w:ascii="宋体" w:hAnsi="宋体" w:cs="宋体"/>
          <w:color w:val="auto"/>
          <w:sz w:val="24"/>
          <w:szCs w:val="21"/>
          <w:highlight w:val="none"/>
          <w:lang w:val="en-US" w:eastAsia="zh-CN"/>
        </w:rPr>
        <w:t>01</w:t>
      </w:r>
      <w:r>
        <w:rPr>
          <w:rFonts w:hint="eastAsia" w:ascii="宋体" w:hAnsi="宋体" w:cs="宋体"/>
          <w:color w:val="auto"/>
          <w:sz w:val="24"/>
          <w:szCs w:val="21"/>
          <w:highlight w:val="none"/>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2B242F"/>
    <w:multiLevelType w:val="singleLevel"/>
    <w:tmpl w:val="AE2B242F"/>
    <w:lvl w:ilvl="0" w:tentative="0">
      <w:start w:val="7"/>
      <w:numFmt w:val="decimal"/>
      <w:suff w:val="nothing"/>
      <w:lvlText w:val="%1、"/>
      <w:lvlJc w:val="left"/>
    </w:lvl>
  </w:abstractNum>
  <w:abstractNum w:abstractNumId="1">
    <w:nsid w:val="00000007"/>
    <w:multiLevelType w:val="singleLevel"/>
    <w:tmpl w:val="00000007"/>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1B1557"/>
    <w:rsid w:val="301B15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before="280" w:beforeLines="0" w:after="290" w:afterLines="0" w:line="372" w:lineRule="auto"/>
      <w:outlineLvl w:val="3"/>
    </w:pPr>
    <w:rPr>
      <w:rFonts w:ascii="Cambria" w:hAnsi="Cambria" w:eastAsia="宋体" w:cs="Times New Roman"/>
      <w:b/>
      <w:bCs/>
      <w:sz w:val="28"/>
      <w:szCs w:val="28"/>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2020-12-01T09:09:00Z</dcterms:created>
  <dc:creator>qzuser</dc:creator>
  <cp:lastModifiedBy>qzuser</cp:lastModifiedBy>
  <dcterms:modified xsi:type="dcterms:W3CDTF">2020-12-01T09:10:09Z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